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9C1" w:rsidRPr="00092116" w:rsidRDefault="009209C1" w:rsidP="009209C1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2116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№32</w:t>
      </w:r>
    </w:p>
    <w:p w:rsidR="009209C1" w:rsidRPr="00092116" w:rsidRDefault="009209C1" w:rsidP="009209C1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92116">
        <w:rPr>
          <w:rFonts w:ascii="Times New Roman" w:hAnsi="Times New Roman" w:cs="Times New Roman"/>
          <w:color w:val="000000"/>
          <w:sz w:val="24"/>
          <w:szCs w:val="24"/>
        </w:rPr>
        <w:t xml:space="preserve">к Тарифному соглашению </w:t>
      </w:r>
    </w:p>
    <w:p w:rsidR="009209C1" w:rsidRPr="00092116" w:rsidRDefault="009209C1" w:rsidP="009209C1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92116">
        <w:rPr>
          <w:rFonts w:ascii="Times New Roman" w:hAnsi="Times New Roman" w:cs="Times New Roman"/>
          <w:color w:val="000000"/>
          <w:sz w:val="24"/>
          <w:szCs w:val="24"/>
        </w:rPr>
        <w:t>в системе ОМС на территории</w:t>
      </w:r>
    </w:p>
    <w:p w:rsidR="009209C1" w:rsidRPr="00092116" w:rsidRDefault="009209C1" w:rsidP="009209C1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92116">
        <w:rPr>
          <w:rFonts w:ascii="Times New Roman" w:hAnsi="Times New Roman" w:cs="Times New Roman"/>
          <w:color w:val="000000"/>
          <w:sz w:val="24"/>
          <w:szCs w:val="24"/>
        </w:rPr>
        <w:t>Республики Мордовия</w:t>
      </w:r>
    </w:p>
    <w:p w:rsidR="009209C1" w:rsidRDefault="009209C1" w:rsidP="009209C1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92116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493344" w:rsidRPr="0009211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34E02" w:rsidRPr="0009211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92116">
        <w:rPr>
          <w:rFonts w:ascii="Times New Roman" w:hAnsi="Times New Roman" w:cs="Times New Roman"/>
          <w:color w:val="000000"/>
          <w:sz w:val="24"/>
          <w:szCs w:val="24"/>
        </w:rPr>
        <w:t>.01.202</w:t>
      </w:r>
      <w:r w:rsidR="00234E02" w:rsidRPr="0009211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92116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9209C1" w:rsidRPr="009209C1" w:rsidRDefault="009209C1" w:rsidP="009209C1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209C1" w:rsidRDefault="00A533E1" w:rsidP="00A533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Порядок расчета значений показателей результативности деятельности медицинских организаций, </w:t>
      </w:r>
    </w:p>
    <w:p w:rsidR="00E5383D" w:rsidRDefault="00A533E1" w:rsidP="00A533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участвующих в реализации территориальной программы ОМС Республики Мордовия, </w:t>
      </w:r>
    </w:p>
    <w:p w:rsidR="00A533E1" w:rsidRDefault="00A533E1" w:rsidP="00A533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финансируемых по подушевому нормативу финансирования на 202</w:t>
      </w:r>
      <w:r w:rsidR="00234E0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</w:p>
    <w:p w:rsidR="00B26E89" w:rsidRPr="00E5383D" w:rsidRDefault="00B26E89" w:rsidP="00A533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E538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(период действия 21.07.2025 – 31.12.2025)</w:t>
      </w:r>
    </w:p>
    <w:tbl>
      <w:tblPr>
        <w:tblW w:w="1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444"/>
        <w:gridCol w:w="4822"/>
        <w:gridCol w:w="1335"/>
        <w:gridCol w:w="14"/>
        <w:gridCol w:w="66"/>
        <w:gridCol w:w="4252"/>
      </w:tblGrid>
      <w:tr w:rsidR="002D2AA6" w:rsidRPr="00492AEB" w:rsidTr="00E5383D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3900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3900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3900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3900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3900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Источник</w:t>
            </w:r>
          </w:p>
        </w:tc>
      </w:tr>
      <w:tr w:rsidR="002D2AA6" w:rsidRPr="00492AEB" w:rsidTr="00E5383D">
        <w:trPr>
          <w:trHeight w:val="831"/>
        </w:trPr>
        <w:tc>
          <w:tcPr>
            <w:tcW w:w="15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</w:p>
        </w:tc>
      </w:tr>
      <w:tr w:rsidR="002D2AA6" w:rsidRPr="00492AEB" w:rsidTr="00E5383D">
        <w:trPr>
          <w:trHeight w:val="841"/>
        </w:trPr>
        <w:tc>
          <w:tcPr>
            <w:tcW w:w="15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20B3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бск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вп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26E89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E89" w:rsidRPr="00492AEB" w:rsidRDefault="00B26E89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E89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:rsidR="00B26E89" w:rsidRPr="00492AEB" w:rsidRDefault="00B26E89" w:rsidP="00390071">
            <w:pPr>
              <w:spacing w:after="0"/>
              <w:ind w:firstLine="3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E89" w:rsidRDefault="00B26E89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E89" w:rsidRPr="00492AEB" w:rsidRDefault="00B26E89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E89" w:rsidRPr="00492AEB" w:rsidRDefault="00B26E89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:rsidR="002D2AA6" w:rsidRPr="00492AEB" w:rsidRDefault="002D2AA6" w:rsidP="00B26E89">
            <w:pPr>
              <w:spacing w:after="0"/>
              <w:ind w:firstLine="4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AA6" w:rsidRPr="00492AEB" w:rsidRDefault="002D2AA6" w:rsidP="00390071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AA6" w:rsidRPr="00492AEB" w:rsidRDefault="002D2AA6" w:rsidP="00390071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хобл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обструктивная болезнь легких, выявленным впервые при профилактических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медицинских осмотрах и диспансеризации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вп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20B3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сд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вп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rPr>
          <w:trHeight w:val="725"/>
        </w:trPr>
        <w:tc>
          <w:tcPr>
            <w:tcW w:w="15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                                                                   Оценка эффективности диспансерного наблюдения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E89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взрослых с болезнями системы кровообращения &lt;1&gt;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&lt;1&gt;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заболеваний).</w:t>
            </w:r>
          </w:p>
          <w:p w:rsidR="002D2AA6" w:rsidRPr="00492AEB" w:rsidRDefault="002D2AA6" w:rsidP="00390071">
            <w:pPr>
              <w:spacing w:after="0"/>
              <w:ind w:firstLine="4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лиц 18 лет и старше, состоявших под диспансерным наблюдением по поводу болезней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кровообращения, госпитализированных в связи с обострениями или осложнениями болезней системы </w:t>
            </w:r>
            <w:r w:rsidRPr="00B26E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кровообращения </w:t>
            </w:r>
            <w:hyperlink r:id="rId6" w:history="1">
              <w:r w:rsidRPr="00B26E8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  <w:r w:rsidRPr="00B26E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</w:t>
            </w:r>
            <w:hyperlink r:id="rId7" w:history="1">
              <w:r w:rsidRPr="00B26E8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  <w:r w:rsidRPr="00B26E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20B3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бск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вп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2D2AA6" w:rsidRPr="00492AEB" w:rsidRDefault="002D2AA6" w:rsidP="00390071">
            <w:pPr>
              <w:spacing w:after="0"/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20B3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обструктивная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хобл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обструктивная болезнь легких, в отношении которых установлено диспансерное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наблюдение за период, от общего числа взрослых пациентов с впервые в жизни установленным диагнозом хроническая обструктивная болезнь легких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вп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-дата постановки на диспансерный учет;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20B3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сд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вп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20B3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госпитализированных за период по экстренным показаниям в связи с обострением (декомпенсацией)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H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всего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всего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сведений о лицах, состоящих под диспансерным наблюдением (гл.15 Приказ 108н МЗ РФ)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2731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</w:t>
            </w:r>
            <w:r w:rsidR="002731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зации, от общего числа взрослых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бск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бск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пациентов, госпитализированных за период по причине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начала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20B3A" w:rsidP="002731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</w:t>
            </w:r>
            <w:r w:rsidR="002D2AA6"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находящихся </w:t>
            </w:r>
            <w:bookmarkStart w:id="0" w:name="_GoBack"/>
            <w:bookmarkEnd w:id="0"/>
            <w:r w:rsidR="002D2AA6"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числа, находящихся под диспансерным наблюдением по поводу сахарного диабета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Osl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2D2AA6" w:rsidRPr="00492AEB" w:rsidTr="00E5383D">
        <w:trPr>
          <w:trHeight w:val="718"/>
        </w:trPr>
        <w:tc>
          <w:tcPr>
            <w:tcW w:w="15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D2AA6" w:rsidRPr="00492AEB" w:rsidRDefault="002D2AA6" w:rsidP="00220B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2D2AA6" w:rsidRPr="00492AEB" w:rsidTr="00E5383D">
        <w:trPr>
          <w:trHeight w:val="701"/>
        </w:trPr>
        <w:tc>
          <w:tcPr>
            <w:tcW w:w="15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AA6" w:rsidRPr="00E90CD5" w:rsidRDefault="002D2AA6" w:rsidP="00E5383D">
            <w:pPr>
              <w:spacing w:after="0"/>
              <w:jc w:val="both"/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диспансерного наблюдения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нац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Fd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нац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492AEB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3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Ddkms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Cdkms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Cpkms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Ddgl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придаточного аппарата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Cdgl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Cpgl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E5383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Dbop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Cdbop - число детей, </w:t>
            </w:r>
            <w:r w:rsidRPr="00492AEB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>в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Cpbop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Ddbsk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Cdbsk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Cpbsk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Ddbes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Cdbes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Cpbes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2D2AA6" w:rsidRPr="00492AEB" w:rsidRDefault="002D2AA6" w:rsidP="00390071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B26E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spacing w:after="0"/>
              <w:ind w:left="34" w:right="-145" w:hanging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492AEB">
              <w:rPr>
                <w:color w:val="000000" w:themeColor="text1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доабортное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консультирование за период;</w:t>
            </w:r>
          </w:p>
          <w:p w:rsidR="002D2AA6" w:rsidRPr="00492AEB" w:rsidRDefault="002D2AA6" w:rsidP="00E5383D">
            <w:pPr>
              <w:spacing w:after="0"/>
              <w:ind w:left="34" w:right="-125" w:hanging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отк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2D2AA6" w:rsidRPr="00492AEB" w:rsidRDefault="002D2AA6" w:rsidP="00E5383D">
            <w:pPr>
              <w:spacing w:after="0"/>
              <w:ind w:left="34" w:right="-125" w:hanging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 – общее число женщин, прошедших доабортное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носителях.</w:t>
            </w: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B26E89" w:rsidP="00B26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2AA6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2D2AA6" w:rsidRPr="00492AEB" w:rsidRDefault="002D2AA6" w:rsidP="00E5383D">
            <w:pPr>
              <w:spacing w:after="0"/>
              <w:ind w:firstLine="31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2D2AA6" w:rsidRPr="00492AEB" w:rsidRDefault="002D2AA6" w:rsidP="00E5383D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:rsidR="002D2AA6" w:rsidRPr="00492AEB" w:rsidRDefault="002D2AA6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женщин, состоявших на учете по поводу беременности и родов за период, с родоразрешением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AA6" w:rsidRPr="00492AEB" w:rsidRDefault="002D2AA6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383D" w:rsidRPr="00492AEB" w:rsidTr="00E5383D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3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E53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Default="00E5383D" w:rsidP="00E5383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3D" w:rsidRPr="00492AEB" w:rsidRDefault="00E5383D" w:rsidP="00390071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D2AA6" w:rsidRPr="00492AEB" w:rsidRDefault="002D2AA6" w:rsidP="002D2A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2D2AA6" w:rsidRPr="00492AEB" w:rsidRDefault="002D2AA6" w:rsidP="002D2AA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sectPr w:rsidR="002D2AA6" w:rsidRPr="00492AEB" w:rsidSect="00E5383D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9C1" w:rsidRDefault="009209C1" w:rsidP="009209C1">
      <w:pPr>
        <w:spacing w:after="0" w:line="240" w:lineRule="auto"/>
      </w:pPr>
      <w:r>
        <w:separator/>
      </w:r>
    </w:p>
  </w:endnote>
  <w:endnote w:type="continuationSeparator" w:id="0">
    <w:p w:rsidR="009209C1" w:rsidRDefault="009209C1" w:rsidP="0092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9C1" w:rsidRDefault="009209C1" w:rsidP="009209C1">
      <w:pPr>
        <w:spacing w:after="0" w:line="240" w:lineRule="auto"/>
      </w:pPr>
      <w:r>
        <w:separator/>
      </w:r>
    </w:p>
  </w:footnote>
  <w:footnote w:type="continuationSeparator" w:id="0">
    <w:p w:rsidR="009209C1" w:rsidRDefault="009209C1" w:rsidP="009209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E1"/>
    <w:rsid w:val="00092116"/>
    <w:rsid w:val="00095F5E"/>
    <w:rsid w:val="001966F0"/>
    <w:rsid w:val="00220B3A"/>
    <w:rsid w:val="00234E02"/>
    <w:rsid w:val="0027314E"/>
    <w:rsid w:val="002D2AA6"/>
    <w:rsid w:val="003763A9"/>
    <w:rsid w:val="00493344"/>
    <w:rsid w:val="004F0F9C"/>
    <w:rsid w:val="00556B9B"/>
    <w:rsid w:val="00710796"/>
    <w:rsid w:val="0080749F"/>
    <w:rsid w:val="009209C1"/>
    <w:rsid w:val="00A533E1"/>
    <w:rsid w:val="00B26E89"/>
    <w:rsid w:val="00C30E7B"/>
    <w:rsid w:val="00E5383D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8F772-C0C6-4C6C-925D-2BE34478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3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3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09C1"/>
  </w:style>
  <w:style w:type="paragraph" w:styleId="a7">
    <w:name w:val="footer"/>
    <w:basedOn w:val="a"/>
    <w:link w:val="a8"/>
    <w:uiPriority w:val="99"/>
    <w:unhideWhenUsed/>
    <w:rsid w:val="0092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9657&amp;dst=1001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9657&amp;dst=10014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3944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 Пронькина</dc:creator>
  <cp:lastModifiedBy>Жанна Владимировна Курышева</cp:lastModifiedBy>
  <cp:revision>17</cp:revision>
  <dcterms:created xsi:type="dcterms:W3CDTF">2022-03-11T16:02:00Z</dcterms:created>
  <dcterms:modified xsi:type="dcterms:W3CDTF">2025-08-25T07:54:00Z</dcterms:modified>
</cp:coreProperties>
</file>